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1A2B4A"/>
          <w:sz w:val="36"/>
        </w:rPr>
        <w:t>BUSINESS MODEL CANVAS — Modèle vierge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6"/>
        <w:gridCol w:w="2896"/>
        <w:gridCol w:w="2896"/>
        <w:gridCol w:w="2896"/>
        <w:gridCol w:w="2896"/>
      </w:tblGrid>
      <w:tr>
        <w:trPr>
          <w:trHeight w:val="1474"/>
        </w:trPr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8. Partenaires clés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Qui sont nos partenaires et fournisseurs clés ?</w:t>
            </w:r>
          </w:p>
        </w:tc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7. Activités clés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Quelles activités clés notre proposition exige-t-elle ?</w:t>
            </w:r>
          </w:p>
        </w:tc>
        <w:tc>
          <w:tcPr>
            <w:tcW w:type="dxa" w:w="2896"/>
            <w:vMerge w:val="restart"/>
            <w:shd w:val="clear" w:fill="EEF3FB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2. Proposition de valeur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Quelle valeur apportons-nous ? Quel problème résolvons-nous ?</w:t>
            </w:r>
          </w:p>
        </w:tc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4. Relations clients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Quel type de relation chaque segment attend-il ?</w:t>
            </w:r>
          </w:p>
        </w:tc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1. Segments de clientèle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Pour qui créons-nous de la valeur ? Qui sont nos clients ?</w:t>
            </w:r>
          </w:p>
        </w:tc>
      </w:tr>
      <w:tr>
        <w:trPr>
          <w:trHeight w:val="1474"/>
        </w:trPr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</w:tr>
      <w:tr>
        <w:trPr>
          <w:trHeight w:val="1474"/>
        </w:trPr>
        <w:tc>
          <w:tcPr>
            <w:tcW w:type="dxa" w:w="2896"/>
            <w:vMerge/>
          </w:tcPr>
          <w:p/>
        </w:tc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6. Ressources clés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Quelles ressources clés sont indispensables ?</w:t>
            </w:r>
          </w:p>
        </w:tc>
        <w:tc>
          <w:tcPr>
            <w:tcW w:type="dxa" w:w="2896"/>
            <w:vMerge/>
          </w:tcPr>
          <w:p/>
        </w:tc>
        <w:tc>
          <w:tcPr>
            <w:tcW w:type="dxa" w:w="2896"/>
            <w:vMerge w:val="restart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3. Canaux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Par quels canaux atteignons-nous nos clients ?</w:t>
            </w:r>
          </w:p>
        </w:tc>
        <w:tc>
          <w:tcPr>
            <w:tcW w:type="dxa" w:w="2896"/>
            <w:vMerge/>
          </w:tcPr>
          <w:p/>
        </w:tc>
      </w:tr>
      <w:tr>
        <w:trPr>
          <w:trHeight w:val="1474"/>
        </w:trPr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  <w:tc>
          <w:tcPr>
            <w:tcW w:type="dxa" w:w="2896"/>
            <w:vMerge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40"/>
        <w:gridCol w:w="7240"/>
      </w:tblGrid>
      <w:tr>
        <w:trPr>
          <w:trHeight w:val="1474"/>
        </w:trPr>
        <w:tc>
          <w:tcPr>
            <w:tcW w:type="dxa" w:w="7240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9. Structure de coûts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Quels sont les coûts les plus importants de notre modèle ?</w:t>
            </w:r>
          </w:p>
        </w:tc>
        <w:tc>
          <w:tcPr>
            <w:tcW w:type="dxa" w:w="7240"/>
          </w:tcPr>
          <w:p>
            <w:r/>
            <w:r>
              <w:rPr>
                <w:rFonts w:ascii="Arial" w:hAnsi="Arial"/>
                <w:b/>
                <w:color w:val="1A2B4A"/>
                <w:sz w:val="20"/>
              </w:rPr>
              <w:t>5. Sources de revenus</w:t>
            </w:r>
          </w:p>
          <w:p>
            <w:r>
              <w:rPr>
                <w:rFonts w:ascii="Arial" w:hAnsi="Arial"/>
                <w:i/>
                <w:color w:val="8A94A6"/>
                <w:sz w:val="15"/>
              </w:rPr>
              <w:t>Pour quelle valeur les clients paient-ils ? Quel modèle de tarification ?</w:t>
            </w:r>
          </w:p>
        </w:tc>
      </w:tr>
    </w:tbl>
    <w:p>
      <w:r>
        <w:rPr>
          <w:rFonts w:ascii="Arial" w:hAnsi="Arial"/>
          <w:i/>
          <w:color w:val="8A94A6"/>
          <w:sz w:val="15"/>
        </w:rPr>
        <w:t>Inspiré de la méthode Business Model Canvas d'Alexander Osterwalder &amp; Yves Pigneur. Modèle vierge à compléter.</w:t>
      </w:r>
    </w:p>
    <w:sectPr w:rsidR="00FC693F" w:rsidRPr="0006063C" w:rsidSect="00034616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